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Dolci casalinghi per bambini dai 10 mesi ai 10 anni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La ricetta, così come tramandata</w:t>
      </w:r>
    </w:p>
    <w:p>
      <w:pPr>
        <w:spacing w:after="120"/>
      </w:pPr>
      <w:r>
        <w:rPr>
          <w:sz w:val="22"/>
          <w:szCs w:val="22"/>
        </w:rPr>
        <w:t xml:space="preserve">Sbattete insieme 200 grammi di zucchero e sette rossi d'uova; dopo cinque minuti, aggiungete due uova intere, rossi e chiare, una per volta; scorza di limone grattata e un po’ di zucchero con vaniglia. Appena il composto sia spumoso, mescolate leggermente sette chiare ben montate, 100 grammi di farina e 100 grammi di fecola Knorr; infine, e con pochi colpi di cucchiaio un decilitro di panna montata ben consistente. Riempite con tale composto delle scatolette di carta al disotto dell'orlo e mettetele a cuocere in forno, a fuoco dolce, per otto minuti.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Ricetta originale da manoscritto — impararecongusto.it/ricette-del-cassetto</w:t>
      </w:r>
    </w:p>
    <w:sectPr>
      <w:pgSz w:w="11906" w:h="16838"/>
      <w:pgMar w:top="1417" w:right="1417" w:bottom="1417" w:left="1417"/>
    </w:sectPr>
  </w:body>
</w:document>
</file>